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2F17" w14:textId="77777777" w:rsidR="0026347D" w:rsidRDefault="002F3429">
      <w:pPr>
        <w:pStyle w:val="H1"/>
      </w:pPr>
      <w:r>
        <w:rPr>
          <w:noProof/>
        </w:rPr>
        <w:drawing>
          <wp:inline distT="0" distB="0" distL="0" distR="0" wp14:anchorId="1DAA52F5" wp14:editId="2A3D3D2C">
            <wp:extent cx="1561173" cy="1604645"/>
            <wp:effectExtent l="0" t="0" r="0" b="0"/>
            <wp:docPr id="1073741825" name="officeArt object" descr="D:\rgb files\PDN final logo outlined rgb.jpg"/>
            <wp:cNvGraphicFramePr/>
            <a:graphic xmlns:a="http://schemas.openxmlformats.org/drawingml/2006/main">
              <a:graphicData uri="http://schemas.openxmlformats.org/drawingml/2006/picture">
                <pic:pic xmlns:pic="http://schemas.openxmlformats.org/drawingml/2006/picture">
                  <pic:nvPicPr>
                    <pic:cNvPr id="1073741825" name="D:\rgb files\PDN final logo outlined rgb.jpg" descr="D:\rgb files\PDN final logo outlined rgb.jpg"/>
                    <pic:cNvPicPr>
                      <a:picLocks noChangeAspect="1"/>
                    </pic:cNvPicPr>
                  </pic:nvPicPr>
                  <pic:blipFill>
                    <a:blip r:embed="rId7"/>
                    <a:stretch>
                      <a:fillRect/>
                    </a:stretch>
                  </pic:blipFill>
                  <pic:spPr>
                    <a:xfrm>
                      <a:off x="0" y="0"/>
                      <a:ext cx="1561173" cy="1604645"/>
                    </a:xfrm>
                    <a:prstGeom prst="rect">
                      <a:avLst/>
                    </a:prstGeom>
                    <a:ln w="12700" cap="flat">
                      <a:noFill/>
                      <a:miter lim="400000"/>
                    </a:ln>
                    <a:effectLst/>
                  </pic:spPr>
                </pic:pic>
              </a:graphicData>
            </a:graphic>
          </wp:inline>
        </w:drawing>
      </w:r>
    </w:p>
    <w:p w14:paraId="55E35DD8" w14:textId="77777777" w:rsidR="0026347D" w:rsidRDefault="0026347D">
      <w:pPr>
        <w:pStyle w:val="deleteasappropriate"/>
        <w:rPr>
          <w:i w:val="0"/>
          <w:iCs w:val="0"/>
          <w:sz w:val="24"/>
          <w:szCs w:val="24"/>
        </w:rPr>
      </w:pPr>
    </w:p>
    <w:p w14:paraId="0E94152B" w14:textId="77777777" w:rsidR="0026347D" w:rsidRDefault="002F3429">
      <w:pPr>
        <w:tabs>
          <w:tab w:val="center" w:pos="4320"/>
          <w:tab w:val="right" w:pos="8640"/>
        </w:tabs>
        <w:jc w:val="center"/>
        <w:rPr>
          <w:rFonts w:ascii="Comic Sans MS" w:eastAsia="Comic Sans MS" w:hAnsi="Comic Sans MS" w:cs="Comic Sans MS"/>
          <w:sz w:val="16"/>
          <w:szCs w:val="16"/>
        </w:rPr>
      </w:pPr>
      <w:r>
        <w:rPr>
          <w:rFonts w:ascii="Comic Sans MS" w:hAnsi="Comic Sans MS"/>
          <w:sz w:val="16"/>
          <w:szCs w:val="16"/>
        </w:rPr>
        <w:t>287 Hatherley Road, Up Hatherley</w:t>
      </w:r>
    </w:p>
    <w:p w14:paraId="61FCC319" w14:textId="77777777" w:rsidR="0026347D" w:rsidRDefault="002F3429">
      <w:pPr>
        <w:tabs>
          <w:tab w:val="center" w:pos="4320"/>
          <w:tab w:val="right" w:pos="8640"/>
        </w:tabs>
        <w:jc w:val="center"/>
        <w:rPr>
          <w:rFonts w:ascii="Comic Sans MS" w:eastAsia="Comic Sans MS" w:hAnsi="Comic Sans MS" w:cs="Comic Sans MS"/>
          <w:sz w:val="16"/>
          <w:szCs w:val="16"/>
        </w:rPr>
      </w:pPr>
      <w:r>
        <w:rPr>
          <w:rFonts w:ascii="Comic Sans MS" w:hAnsi="Comic Sans MS"/>
          <w:sz w:val="16"/>
          <w:szCs w:val="16"/>
        </w:rPr>
        <w:t>Cheltenham, Glos, GL51 6HT</w:t>
      </w:r>
    </w:p>
    <w:p w14:paraId="38D583ED" w14:textId="77777777" w:rsidR="0026347D" w:rsidRDefault="002F3429">
      <w:pPr>
        <w:tabs>
          <w:tab w:val="center" w:pos="4320"/>
          <w:tab w:val="right" w:pos="8640"/>
        </w:tabs>
        <w:jc w:val="center"/>
        <w:rPr>
          <w:rFonts w:ascii="Comic Sans MS" w:eastAsia="Comic Sans MS" w:hAnsi="Comic Sans MS" w:cs="Comic Sans MS"/>
          <w:color w:val="0000FF"/>
          <w:sz w:val="16"/>
          <w:szCs w:val="16"/>
          <w:u w:val="single" w:color="0000FF"/>
        </w:rPr>
      </w:pPr>
      <w:r>
        <w:rPr>
          <w:rFonts w:ascii="Comic Sans MS" w:hAnsi="Comic Sans MS"/>
          <w:sz w:val="16"/>
          <w:szCs w:val="16"/>
        </w:rPr>
        <w:t xml:space="preserve">01242 253212, </w:t>
      </w:r>
      <w:hyperlink r:id="rId8" w:history="1">
        <w:r>
          <w:rPr>
            <w:rStyle w:val="Hyperlink0"/>
          </w:rPr>
          <w:t>playhouse12345@aol.com</w:t>
        </w:r>
      </w:hyperlink>
    </w:p>
    <w:p w14:paraId="7232FFE0" w14:textId="77777777" w:rsidR="0026347D" w:rsidRDefault="0026347D">
      <w:pPr>
        <w:tabs>
          <w:tab w:val="center" w:pos="4320"/>
          <w:tab w:val="right" w:pos="8640"/>
        </w:tabs>
        <w:jc w:val="center"/>
        <w:rPr>
          <w:rFonts w:ascii="Comic Sans MS" w:eastAsia="Comic Sans MS" w:hAnsi="Comic Sans MS" w:cs="Comic Sans MS"/>
          <w:color w:val="0000FF"/>
          <w:sz w:val="16"/>
          <w:szCs w:val="16"/>
          <w:u w:val="single" w:color="0000FF"/>
        </w:rPr>
      </w:pPr>
    </w:p>
    <w:p w14:paraId="37E0DF46" w14:textId="132903CB" w:rsidR="0026347D" w:rsidRPr="00EE2BC7" w:rsidRDefault="00170E9B" w:rsidP="00EE2BC7">
      <w:pPr>
        <w:tabs>
          <w:tab w:val="center" w:pos="4320"/>
          <w:tab w:val="right" w:pos="8640"/>
        </w:tabs>
        <w:jc w:val="center"/>
        <w:rPr>
          <w:sz w:val="28"/>
          <w:szCs w:val="28"/>
        </w:rPr>
      </w:pPr>
      <w:r>
        <w:rPr>
          <w:sz w:val="28"/>
          <w:szCs w:val="28"/>
          <w:u w:val="single"/>
        </w:rPr>
        <w:t>Fee Policy – Funded hours and charges</w:t>
      </w:r>
    </w:p>
    <w:p w14:paraId="48E25E04" w14:textId="77777777" w:rsidR="0026347D" w:rsidRDefault="0026347D"/>
    <w:p w14:paraId="14811031" w14:textId="77777777" w:rsidR="0026347D" w:rsidRDefault="0026347D"/>
    <w:p w14:paraId="66746123" w14:textId="770F873E" w:rsidR="0026347D" w:rsidRDefault="0082191E">
      <w:r>
        <w:t>At Playhouse Day Nursery we are committed to delivering high-quality, affordable and accessible childcare services in line with the statutory guidance on early education and childcare entitlements. This policy outlines how we offer the government funded early education hours, additional charges and our approach to transparency in invoicing, in accordance with the latest Early Years Foundation Stage (EYFS) statutory guidance and the Early Education and Childcare entitlements guidance, effective from January 2026.</w:t>
      </w:r>
    </w:p>
    <w:p w14:paraId="6C27F198" w14:textId="77777777" w:rsidR="0082191E" w:rsidRDefault="0082191E"/>
    <w:p w14:paraId="7AC7C965" w14:textId="422AF5AE" w:rsidR="0082191E" w:rsidRPr="0015369A" w:rsidRDefault="0082191E">
      <w:pPr>
        <w:rPr>
          <w:b/>
          <w:bCs/>
        </w:rPr>
      </w:pPr>
      <w:r w:rsidRPr="0015369A">
        <w:rPr>
          <w:b/>
          <w:bCs/>
        </w:rPr>
        <w:t xml:space="preserve">Funded Early Education Entitlement </w:t>
      </w:r>
    </w:p>
    <w:p w14:paraId="334A2DEC" w14:textId="5304B012" w:rsidR="0082191E" w:rsidRDefault="0082191E">
      <w:r>
        <w:t xml:space="preserve">We offer government funded childcare places as part of the 15 and 30hr entitlement scheme for eligible 9 months, </w:t>
      </w:r>
      <w:proofErr w:type="gramStart"/>
      <w:r>
        <w:t>two, three and four year old</w:t>
      </w:r>
      <w:proofErr w:type="gramEnd"/>
      <w:r>
        <w:t xml:space="preserve"> children. These funded hours</w:t>
      </w:r>
      <w:r w:rsidR="0015369A">
        <w:t>:</w:t>
      </w:r>
    </w:p>
    <w:p w14:paraId="7798B2C0" w14:textId="294F3D2A" w:rsidR="0015369A" w:rsidRDefault="0015369A" w:rsidP="00C66F78">
      <w:pPr>
        <w:pStyle w:val="ListParagraph"/>
        <w:numPr>
          <w:ilvl w:val="0"/>
          <w:numId w:val="3"/>
        </w:numPr>
      </w:pPr>
      <w:r>
        <w:t>Are available free of charge to parents</w:t>
      </w:r>
    </w:p>
    <w:p w14:paraId="5763DEC1" w14:textId="6B6B772F" w:rsidR="0015369A" w:rsidRDefault="0015369A" w:rsidP="0015369A">
      <w:pPr>
        <w:pStyle w:val="ListParagraph"/>
        <w:numPr>
          <w:ilvl w:val="0"/>
          <w:numId w:val="3"/>
        </w:numPr>
      </w:pPr>
      <w:r>
        <w:t>Are offered during agreed sessions, in line with the EYFS requirements</w:t>
      </w:r>
    </w:p>
    <w:p w14:paraId="619BEAC8" w14:textId="77777777" w:rsidR="0015369A" w:rsidRDefault="0015369A" w:rsidP="0015369A"/>
    <w:p w14:paraId="09057167" w14:textId="155817E0" w:rsidR="0015369A" w:rsidRDefault="0015369A" w:rsidP="0015369A">
      <w:pPr>
        <w:rPr>
          <w:b/>
          <w:bCs/>
        </w:rPr>
      </w:pPr>
      <w:r w:rsidRPr="0015369A">
        <w:rPr>
          <w:b/>
          <w:bCs/>
        </w:rPr>
        <w:t xml:space="preserve">Additional Charges </w:t>
      </w:r>
    </w:p>
    <w:p w14:paraId="5091F055" w14:textId="362900A9" w:rsidR="0015369A" w:rsidRDefault="0015369A" w:rsidP="0015369A">
      <w:r>
        <w:t>While the government funding covers the cost of delivering high quality early education, it does not cover:</w:t>
      </w:r>
    </w:p>
    <w:p w14:paraId="6E4EC2E8" w14:textId="0C85AAA1" w:rsidR="0015369A" w:rsidRDefault="0015369A" w:rsidP="0015369A">
      <w:pPr>
        <w:pStyle w:val="ListParagraph"/>
        <w:numPr>
          <w:ilvl w:val="0"/>
          <w:numId w:val="3"/>
        </w:numPr>
      </w:pPr>
      <w:r w:rsidRPr="00410AA1">
        <w:rPr>
          <w:b/>
          <w:bCs/>
        </w:rPr>
        <w:t>Meals</w:t>
      </w:r>
      <w:r w:rsidR="008C2B58" w:rsidRPr="008C2B58">
        <w:rPr>
          <w:rFonts w:cs="Arial"/>
          <w:color w:val="1D2228"/>
          <w:spacing w:val="-5"/>
          <w:shd w:val="clear" w:color="auto" w:fill="FFFFFF"/>
        </w:rPr>
        <w:t xml:space="preserve"> </w:t>
      </w:r>
      <w:r w:rsidR="008C2B58">
        <w:rPr>
          <w:rFonts w:cs="Arial"/>
          <w:color w:val="1D2228"/>
          <w:spacing w:val="-5"/>
          <w:shd w:val="clear" w:color="auto" w:fill="FFFFFF"/>
        </w:rPr>
        <w:t>(Snacks, Cooked lunch and pudding and Hot/cold tea and pudding)</w:t>
      </w:r>
    </w:p>
    <w:p w14:paraId="27207FC3" w14:textId="76A634AD" w:rsidR="0015369A" w:rsidRDefault="00410AA1" w:rsidP="0015369A">
      <w:pPr>
        <w:pStyle w:val="ListParagraph"/>
        <w:numPr>
          <w:ilvl w:val="0"/>
          <w:numId w:val="3"/>
        </w:numPr>
      </w:pPr>
      <w:r w:rsidRPr="00410AA1">
        <w:rPr>
          <w:b/>
          <w:bCs/>
        </w:rPr>
        <w:t>Non</w:t>
      </w:r>
      <w:r>
        <w:rPr>
          <w:b/>
          <w:bCs/>
        </w:rPr>
        <w:t>-</w:t>
      </w:r>
      <w:r w:rsidRPr="00410AA1">
        <w:rPr>
          <w:b/>
          <w:bCs/>
        </w:rPr>
        <w:t>food</w:t>
      </w:r>
      <w:r w:rsidR="0015369A" w:rsidRPr="00410AA1">
        <w:rPr>
          <w:b/>
          <w:bCs/>
        </w:rPr>
        <w:t xml:space="preserve"> consumables</w:t>
      </w:r>
      <w:r w:rsidR="0015369A">
        <w:t xml:space="preserve"> (Wipes, nappy cream, </w:t>
      </w:r>
      <w:r>
        <w:t>Calpol,</w:t>
      </w:r>
      <w:r w:rsidR="008C2B58">
        <w:t xml:space="preserve"> </w:t>
      </w:r>
      <w:r>
        <w:t>etc.</w:t>
      </w:r>
      <w:r w:rsidR="0015369A">
        <w:t>)</w:t>
      </w:r>
    </w:p>
    <w:p w14:paraId="3949CE15" w14:textId="1403F2BE" w:rsidR="0015369A" w:rsidRDefault="003845BE" w:rsidP="0015369A">
      <w:pPr>
        <w:pStyle w:val="ListParagraph"/>
        <w:numPr>
          <w:ilvl w:val="0"/>
          <w:numId w:val="3"/>
        </w:numPr>
      </w:pPr>
      <w:r w:rsidRPr="00410AA1">
        <w:rPr>
          <w:b/>
          <w:bCs/>
        </w:rPr>
        <w:t>Activities and extras</w:t>
      </w:r>
      <w:r w:rsidR="008C2B58">
        <w:t xml:space="preserve"> (</w:t>
      </w:r>
      <w:r w:rsidR="008C2B58">
        <w:rPr>
          <w:rFonts w:cs="Arial"/>
          <w:color w:val="1D2228"/>
          <w:spacing w:val="-5"/>
          <w:shd w:val="clear" w:color="auto" w:fill="FFFFFF"/>
        </w:rPr>
        <w:t xml:space="preserve">Mothers and </w:t>
      </w:r>
      <w:r w:rsidR="00410AA1">
        <w:rPr>
          <w:rFonts w:cs="Arial"/>
          <w:color w:val="1D2228"/>
          <w:spacing w:val="-5"/>
          <w:shd w:val="clear" w:color="auto" w:fill="FFFFFF"/>
        </w:rPr>
        <w:t>Father’s day</w:t>
      </w:r>
      <w:r w:rsidR="008C2B58">
        <w:rPr>
          <w:rFonts w:cs="Arial"/>
          <w:color w:val="1D2228"/>
          <w:spacing w:val="-5"/>
          <w:shd w:val="clear" w:color="auto" w:fill="FFFFFF"/>
        </w:rPr>
        <w:t xml:space="preserve"> events, Graduation party, music and movement,  cooking activities, trips</w:t>
      </w:r>
      <w:r w:rsidR="00410AA1">
        <w:rPr>
          <w:rFonts w:cs="Arial"/>
          <w:color w:val="1D2228"/>
          <w:spacing w:val="-5"/>
          <w:shd w:val="clear" w:color="auto" w:fill="FFFFFF"/>
        </w:rPr>
        <w:t>)</w:t>
      </w:r>
    </w:p>
    <w:p w14:paraId="2A63EAB1" w14:textId="77777777" w:rsidR="003845BE" w:rsidRDefault="003845BE" w:rsidP="003845BE"/>
    <w:p w14:paraId="4AF9758E" w14:textId="16788D94" w:rsidR="003845BE" w:rsidRDefault="003845BE" w:rsidP="003845BE">
      <w:pPr>
        <w:rPr>
          <w:b/>
          <w:bCs/>
        </w:rPr>
      </w:pPr>
      <w:r w:rsidRPr="003845BE">
        <w:rPr>
          <w:b/>
          <w:bCs/>
        </w:rPr>
        <w:t>Parent Contribution</w:t>
      </w:r>
    </w:p>
    <w:p w14:paraId="7BC50FBE" w14:textId="67901BD6" w:rsidR="003845BE" w:rsidRDefault="00322707" w:rsidP="003845BE">
      <w:r>
        <w:t>We ask parents to</w:t>
      </w:r>
      <w:r w:rsidR="00C66F78">
        <w:t xml:space="preserve"> voluntarily</w:t>
      </w:r>
      <w:r>
        <w:t xml:space="preserve"> contribute towards these additional costs so that we can continue to deliver high quality childcare. We take pride in offering home cooked nutritious healthy meals cooked onsite during the day. We follow the EYFS nutrition</w:t>
      </w:r>
      <w:r w:rsidR="00A94001">
        <w:t>al</w:t>
      </w:r>
      <w:r>
        <w:t xml:space="preserve"> guidance to make sure all children are catered for their age and stage of development. Our food is prepared safely by our two cooks who have extensive training in food safety. We offer morning snacks, hot lunches and afternoon teas. </w:t>
      </w:r>
      <w:proofErr w:type="gramStart"/>
      <w:r>
        <w:t>All of</w:t>
      </w:r>
      <w:proofErr w:type="gramEnd"/>
      <w:r>
        <w:t xml:space="preserve"> our staff are </w:t>
      </w:r>
      <w:proofErr w:type="spellStart"/>
      <w:r>
        <w:t>paediatric</w:t>
      </w:r>
      <w:proofErr w:type="spellEnd"/>
      <w:r>
        <w:t xml:space="preserve"> first aid trained (above the minimum requirements) this ensures your </w:t>
      </w:r>
      <w:proofErr w:type="gramStart"/>
      <w:r>
        <w:t>child</w:t>
      </w:r>
      <w:proofErr w:type="gramEnd"/>
      <w:r>
        <w:t xml:space="preserve">/ren are </w:t>
      </w:r>
      <w:proofErr w:type="gramStart"/>
      <w:r>
        <w:t>kept safe at all times</w:t>
      </w:r>
      <w:proofErr w:type="gramEnd"/>
      <w:r>
        <w:t>.</w:t>
      </w:r>
    </w:p>
    <w:p w14:paraId="3C99B6FD" w14:textId="77777777" w:rsidR="00322707" w:rsidRDefault="00322707" w:rsidP="003845BE"/>
    <w:p w14:paraId="5E80A118" w14:textId="08559847" w:rsidR="00322707" w:rsidRDefault="00322707" w:rsidP="003845BE">
      <w:pPr>
        <w:rPr>
          <w:b/>
          <w:bCs/>
        </w:rPr>
      </w:pPr>
      <w:r w:rsidRPr="00322707">
        <w:rPr>
          <w:b/>
          <w:bCs/>
        </w:rPr>
        <w:t>Transparency and Invoicing</w:t>
      </w:r>
    </w:p>
    <w:p w14:paraId="10C23AE5" w14:textId="4EF37556" w:rsidR="00322707" w:rsidRDefault="00322707" w:rsidP="003845BE">
      <w:r>
        <w:t xml:space="preserve">To ensure transparency and compliance with the statutory guidance, our invoices will clearly </w:t>
      </w:r>
      <w:proofErr w:type="spellStart"/>
      <w:r>
        <w:t>itemi</w:t>
      </w:r>
      <w:r w:rsidR="00740264">
        <w:t>s</w:t>
      </w:r>
      <w:r>
        <w:t>e</w:t>
      </w:r>
      <w:proofErr w:type="spellEnd"/>
      <w:r>
        <w:t xml:space="preserve"> the following:</w:t>
      </w:r>
    </w:p>
    <w:p w14:paraId="1FBF9453" w14:textId="6A50D099" w:rsidR="00322707" w:rsidRDefault="002F6342" w:rsidP="00322707">
      <w:pPr>
        <w:pStyle w:val="ListParagraph"/>
        <w:numPr>
          <w:ilvl w:val="0"/>
          <w:numId w:val="3"/>
        </w:numPr>
      </w:pPr>
      <w:r>
        <w:t>Funded entitlement hours received</w:t>
      </w:r>
    </w:p>
    <w:p w14:paraId="1D2A738F" w14:textId="130DB998" w:rsidR="002F6342" w:rsidRDefault="002F6342" w:rsidP="00322707">
      <w:pPr>
        <w:pStyle w:val="ListParagraph"/>
        <w:numPr>
          <w:ilvl w:val="0"/>
          <w:numId w:val="3"/>
        </w:numPr>
      </w:pPr>
      <w:r>
        <w:t>Additional private paid hours/sessions where applicable</w:t>
      </w:r>
    </w:p>
    <w:p w14:paraId="5C173397" w14:textId="0F3C5CA1" w:rsidR="002F6342" w:rsidRDefault="002F6342" w:rsidP="00322707">
      <w:pPr>
        <w:pStyle w:val="ListParagraph"/>
        <w:numPr>
          <w:ilvl w:val="0"/>
          <w:numId w:val="3"/>
        </w:numPr>
      </w:pPr>
      <w:r>
        <w:t xml:space="preserve">A breakdown of our additional charges during the </w:t>
      </w:r>
      <w:proofErr w:type="gramStart"/>
      <w:r>
        <w:t>funded</w:t>
      </w:r>
      <w:proofErr w:type="gramEnd"/>
      <w:r>
        <w:t xml:space="preserve"> hours</w:t>
      </w:r>
    </w:p>
    <w:p w14:paraId="17FB6680" w14:textId="3D383C1C" w:rsidR="002F6342" w:rsidRDefault="002F6342" w:rsidP="002F6342">
      <w:pPr>
        <w:rPr>
          <w:b/>
          <w:bCs/>
        </w:rPr>
      </w:pPr>
      <w:r w:rsidRPr="002F6342">
        <w:rPr>
          <w:b/>
          <w:bCs/>
        </w:rPr>
        <w:lastRenderedPageBreak/>
        <w:t>Charging for private hours</w:t>
      </w:r>
    </w:p>
    <w:p w14:paraId="533188F9" w14:textId="3338D133" w:rsidR="002F6342" w:rsidRDefault="002F6342" w:rsidP="002F6342">
      <w:r>
        <w:t>Parents may choose to book additional private childcare hours/sessions beyond their funded entitlement hours</w:t>
      </w:r>
      <w:r w:rsidR="00D70511">
        <w:t>. These additional hours</w:t>
      </w:r>
      <w:proofErr w:type="gramStart"/>
      <w:r w:rsidR="00D70511">
        <w:t>/sessions</w:t>
      </w:r>
      <w:proofErr w:type="gramEnd"/>
      <w:r w:rsidR="00D70511">
        <w:t>:</w:t>
      </w:r>
    </w:p>
    <w:p w14:paraId="12D6C198" w14:textId="75BF0249" w:rsidR="00D70511" w:rsidRDefault="00D70511" w:rsidP="00D70511">
      <w:pPr>
        <w:pStyle w:val="ListParagraph"/>
        <w:numPr>
          <w:ilvl w:val="0"/>
          <w:numId w:val="3"/>
        </w:numPr>
      </w:pPr>
      <w:r>
        <w:t>Are subject to our standard hourly/sessions rates</w:t>
      </w:r>
    </w:p>
    <w:p w14:paraId="75749262" w14:textId="2E21E197" w:rsidR="00D70511" w:rsidRDefault="00D70511" w:rsidP="00D70511">
      <w:pPr>
        <w:pStyle w:val="ListParagraph"/>
        <w:numPr>
          <w:ilvl w:val="0"/>
          <w:numId w:val="3"/>
        </w:numPr>
      </w:pPr>
      <w:proofErr w:type="gramStart"/>
      <w:r>
        <w:t>Must</w:t>
      </w:r>
      <w:proofErr w:type="gramEnd"/>
      <w:r>
        <w:t xml:space="preserve"> not be a requirement for accessing a funded place.</w:t>
      </w:r>
    </w:p>
    <w:p w14:paraId="55FA380B" w14:textId="77777777" w:rsidR="00D70511" w:rsidRDefault="00D70511" w:rsidP="00D70511"/>
    <w:p w14:paraId="59B672EF" w14:textId="1E4B5862" w:rsidR="00D70511" w:rsidRDefault="00740264" w:rsidP="00D70511">
      <w:pPr>
        <w:rPr>
          <w:b/>
          <w:bCs/>
        </w:rPr>
      </w:pPr>
      <w:r w:rsidRPr="00D70511">
        <w:rPr>
          <w:b/>
          <w:bCs/>
        </w:rPr>
        <w:t>Flexibility</w:t>
      </w:r>
      <w:r w:rsidR="00D70511" w:rsidRPr="00D70511">
        <w:rPr>
          <w:b/>
          <w:bCs/>
        </w:rPr>
        <w:t xml:space="preserve"> of hours</w:t>
      </w:r>
    </w:p>
    <w:p w14:paraId="27C463D9" w14:textId="394473B9" w:rsidR="00D70511" w:rsidRPr="00D70511" w:rsidRDefault="00D70511" w:rsidP="00D70511">
      <w:pPr>
        <w:pStyle w:val="ListParagraph"/>
        <w:numPr>
          <w:ilvl w:val="0"/>
          <w:numId w:val="3"/>
        </w:numPr>
        <w:rPr>
          <w:b/>
          <w:bCs/>
        </w:rPr>
      </w:pPr>
      <w:r>
        <w:t>Parents will receive clear information on how many funded hours they are entitled to per week</w:t>
      </w:r>
    </w:p>
    <w:p w14:paraId="48CDCC5A" w14:textId="57091A7E" w:rsidR="00D70511" w:rsidRPr="007532B8" w:rsidRDefault="00D70511" w:rsidP="00D70511">
      <w:pPr>
        <w:pStyle w:val="ListParagraph"/>
        <w:numPr>
          <w:ilvl w:val="0"/>
          <w:numId w:val="3"/>
        </w:numPr>
        <w:rPr>
          <w:b/>
          <w:bCs/>
        </w:rPr>
      </w:pPr>
      <w:r>
        <w:t>There will be no artificial breaks in th</w:t>
      </w:r>
      <w:r w:rsidR="007532B8">
        <w:t>e funded entitlement hours that prevent parents from using their full entitlement in a way that supports their work commitments</w:t>
      </w:r>
    </w:p>
    <w:p w14:paraId="21D2BA0B" w14:textId="3AF97E49" w:rsidR="007532B8" w:rsidRPr="00740264" w:rsidRDefault="007532B8" w:rsidP="00D70511">
      <w:pPr>
        <w:pStyle w:val="ListParagraph"/>
        <w:numPr>
          <w:ilvl w:val="0"/>
          <w:numId w:val="3"/>
        </w:numPr>
        <w:rPr>
          <w:b/>
          <w:bCs/>
        </w:rPr>
      </w:pPr>
      <w:r>
        <w:t>Patterns of provision will depend on availability within the nursery.</w:t>
      </w:r>
    </w:p>
    <w:p w14:paraId="4DD0FCD7" w14:textId="77777777" w:rsidR="00740264" w:rsidRDefault="00740264" w:rsidP="00740264">
      <w:pPr>
        <w:rPr>
          <w:b/>
          <w:bCs/>
        </w:rPr>
      </w:pPr>
    </w:p>
    <w:p w14:paraId="0DEB0A8B" w14:textId="0BBF4F23" w:rsidR="00740264" w:rsidRDefault="00740264" w:rsidP="00740264">
      <w:pPr>
        <w:rPr>
          <w:b/>
          <w:bCs/>
        </w:rPr>
      </w:pPr>
      <w:r>
        <w:rPr>
          <w:b/>
          <w:bCs/>
        </w:rPr>
        <w:t>Alignment with EYFS 2025 changes</w:t>
      </w:r>
    </w:p>
    <w:p w14:paraId="7A5D4B71" w14:textId="08CF945B" w:rsidR="00740264" w:rsidRDefault="00740264" w:rsidP="00740264">
      <w:r>
        <w:t>This policy reflects the latest EYFS updates effective from September 2025, ensuring that our setting remains compliant with the new requirements, including:</w:t>
      </w:r>
    </w:p>
    <w:p w14:paraId="74DDDE1E" w14:textId="763CC673" w:rsidR="00740264" w:rsidRDefault="00740264" w:rsidP="00740264">
      <w:pPr>
        <w:pStyle w:val="ListParagraph"/>
        <w:numPr>
          <w:ilvl w:val="0"/>
          <w:numId w:val="3"/>
        </w:numPr>
      </w:pPr>
      <w:r>
        <w:t>Clearer invoicing and a breakdown of charges by January 2026</w:t>
      </w:r>
    </w:p>
    <w:p w14:paraId="5EF23E12" w14:textId="03E89FA9" w:rsidR="00740264" w:rsidRPr="00740264" w:rsidRDefault="00740264" w:rsidP="00740264">
      <w:pPr>
        <w:pStyle w:val="ListParagraph"/>
        <w:numPr>
          <w:ilvl w:val="0"/>
          <w:numId w:val="3"/>
        </w:numPr>
      </w:pPr>
      <w:r>
        <w:t>Ensuring fair access to funded places</w:t>
      </w:r>
    </w:p>
    <w:p w14:paraId="19BF58EE" w14:textId="77777777" w:rsidR="0026347D" w:rsidRPr="00322707" w:rsidRDefault="0026347D">
      <w:pPr>
        <w:rPr>
          <w:b/>
          <w:bCs/>
        </w:rPr>
      </w:pPr>
    </w:p>
    <w:p w14:paraId="5CC35470" w14:textId="77777777" w:rsidR="0026347D" w:rsidRDefault="0026347D"/>
    <w:tbl>
      <w:tblPr>
        <w:tblW w:w="106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9"/>
        <w:gridCol w:w="3940"/>
        <w:gridCol w:w="3184"/>
      </w:tblGrid>
      <w:tr w:rsidR="0026347D" w14:paraId="24D03442" w14:textId="77777777">
        <w:trPr>
          <w:trHeight w:val="282"/>
          <w:jc w:val="center"/>
        </w:trPr>
        <w:tc>
          <w:tcPr>
            <w:tcW w:w="3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8B2C72" w14:textId="77777777" w:rsidR="0026347D" w:rsidRDefault="002F3429">
            <w:pPr>
              <w:pStyle w:val="MeetsEYFS"/>
            </w:pPr>
            <w:r>
              <w:rPr>
                <w:b/>
                <w:bCs/>
                <w:sz w:val="24"/>
                <w:szCs w:val="24"/>
              </w:rPr>
              <w:t>This policy was adopted on</w:t>
            </w:r>
          </w:p>
        </w:tc>
        <w:tc>
          <w:tcPr>
            <w:tcW w:w="3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34F080" w14:textId="77777777" w:rsidR="0026347D" w:rsidRDefault="002F3429">
            <w:pPr>
              <w:pStyle w:val="MeetsEYFS"/>
            </w:pPr>
            <w:r>
              <w:rPr>
                <w:b/>
                <w:bCs/>
                <w:sz w:val="24"/>
                <w:szCs w:val="24"/>
              </w:rPr>
              <w:t>Signed on behalf of the nursery</w:t>
            </w:r>
          </w:p>
        </w:tc>
        <w:tc>
          <w:tcPr>
            <w:tcW w:w="3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B253C" w14:textId="77777777" w:rsidR="0026347D" w:rsidRDefault="002F3429">
            <w:pPr>
              <w:pStyle w:val="MeetsEYFS"/>
            </w:pPr>
            <w:r>
              <w:rPr>
                <w:b/>
                <w:bCs/>
                <w:sz w:val="24"/>
                <w:szCs w:val="24"/>
              </w:rPr>
              <w:t>Date for review</w:t>
            </w:r>
          </w:p>
        </w:tc>
      </w:tr>
      <w:tr w:rsidR="0026347D" w14:paraId="1E945C68" w14:textId="77777777">
        <w:trPr>
          <w:trHeight w:val="562"/>
          <w:jc w:val="center"/>
        </w:trPr>
        <w:tc>
          <w:tcPr>
            <w:tcW w:w="3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718A10" w14:textId="4574E3E7" w:rsidR="0026347D" w:rsidRDefault="00740264">
            <w:pPr>
              <w:pStyle w:val="MeetsEYFS"/>
            </w:pPr>
            <w:r>
              <w:rPr>
                <w:sz w:val="24"/>
                <w:szCs w:val="24"/>
              </w:rPr>
              <w:t>01</w:t>
            </w:r>
            <w:r w:rsidRPr="00740264">
              <w:rPr>
                <w:sz w:val="24"/>
                <w:szCs w:val="24"/>
                <w:vertAlign w:val="superscript"/>
              </w:rPr>
              <w:t>st</w:t>
            </w:r>
            <w:r>
              <w:rPr>
                <w:sz w:val="24"/>
                <w:szCs w:val="24"/>
              </w:rPr>
              <w:t xml:space="preserve"> January 2026</w:t>
            </w:r>
          </w:p>
        </w:tc>
        <w:tc>
          <w:tcPr>
            <w:tcW w:w="39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A6998" w14:textId="77777777" w:rsidR="0026347D" w:rsidRDefault="0026347D"/>
        </w:tc>
        <w:tc>
          <w:tcPr>
            <w:tcW w:w="3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1C7A2" w14:textId="7F19C81D" w:rsidR="0026347D" w:rsidRDefault="00740264">
            <w:pPr>
              <w:pStyle w:val="MeetsEYFS"/>
            </w:pPr>
            <w:r>
              <w:rPr>
                <w:sz w:val="24"/>
                <w:szCs w:val="24"/>
              </w:rPr>
              <w:t>January 2027</w:t>
            </w:r>
          </w:p>
        </w:tc>
      </w:tr>
    </w:tbl>
    <w:p w14:paraId="3CA9D15B" w14:textId="77777777" w:rsidR="0026347D" w:rsidRDefault="0026347D">
      <w:pPr>
        <w:widowControl w:val="0"/>
        <w:jc w:val="center"/>
      </w:pPr>
    </w:p>
    <w:p w14:paraId="59D16626" w14:textId="77777777" w:rsidR="0026347D" w:rsidRDefault="0026347D"/>
    <w:p w14:paraId="5148B4B1" w14:textId="77777777" w:rsidR="0026347D" w:rsidRDefault="0026347D"/>
    <w:p w14:paraId="6D48D1ED" w14:textId="77777777" w:rsidR="0026347D" w:rsidRDefault="0026347D"/>
    <w:sectPr w:rsidR="0026347D">
      <w:headerReference w:type="even" r:id="rId9"/>
      <w:headerReference w:type="default" r:id="rId10"/>
      <w:footerReference w:type="even" r:id="rId11"/>
      <w:footerReference w:type="default" r:id="rId12"/>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D434" w14:textId="77777777" w:rsidR="00466A32" w:rsidRDefault="00466A32">
      <w:r>
        <w:separator/>
      </w:r>
    </w:p>
  </w:endnote>
  <w:endnote w:type="continuationSeparator" w:id="0">
    <w:p w14:paraId="291992E0" w14:textId="77777777" w:rsidR="00466A32" w:rsidRDefault="0046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B264" w14:textId="77777777" w:rsidR="0026347D" w:rsidRDefault="002F3429">
    <w:pPr>
      <w:pStyle w:val="Foo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79C7" w14:textId="77777777" w:rsidR="0026347D" w:rsidRDefault="002F3429">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9A66" w14:textId="77777777" w:rsidR="00466A32" w:rsidRDefault="00466A32">
      <w:r>
        <w:separator/>
      </w:r>
    </w:p>
  </w:footnote>
  <w:footnote w:type="continuationSeparator" w:id="0">
    <w:p w14:paraId="35377779" w14:textId="77777777" w:rsidR="00466A32" w:rsidRDefault="0046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7B40" w14:textId="77777777" w:rsidR="0026347D" w:rsidRDefault="0026347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733C" w14:textId="77777777" w:rsidR="0026347D" w:rsidRDefault="002634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3563"/>
    <w:multiLevelType w:val="hybridMultilevel"/>
    <w:tmpl w:val="148484F6"/>
    <w:numStyleLink w:val="ImportedStyle1"/>
  </w:abstractNum>
  <w:abstractNum w:abstractNumId="1" w15:restartNumberingAfterBreak="0">
    <w:nsid w:val="323F50AF"/>
    <w:multiLevelType w:val="hybridMultilevel"/>
    <w:tmpl w:val="C3C4DD6C"/>
    <w:lvl w:ilvl="0" w:tplc="7AF81750">
      <w:start w:val="1242"/>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F5F44"/>
    <w:multiLevelType w:val="hybridMultilevel"/>
    <w:tmpl w:val="148484F6"/>
    <w:styleLink w:val="ImportedStyle1"/>
    <w:lvl w:ilvl="0" w:tplc="429E3C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58C1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E4863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5A69C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44A7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7A726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3E0A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56D7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8AA2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88047099">
    <w:abstractNumId w:val="2"/>
  </w:num>
  <w:num w:numId="2" w16cid:durableId="1821578020">
    <w:abstractNumId w:val="0"/>
  </w:num>
  <w:num w:numId="3" w16cid:durableId="197008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7D"/>
    <w:rsid w:val="00122633"/>
    <w:rsid w:val="0015369A"/>
    <w:rsid w:val="00170E9B"/>
    <w:rsid w:val="00215297"/>
    <w:rsid w:val="0026347D"/>
    <w:rsid w:val="002F3429"/>
    <w:rsid w:val="002F6342"/>
    <w:rsid w:val="003076DA"/>
    <w:rsid w:val="00322707"/>
    <w:rsid w:val="003845BE"/>
    <w:rsid w:val="00410AA1"/>
    <w:rsid w:val="00466A32"/>
    <w:rsid w:val="0070108F"/>
    <w:rsid w:val="0071692A"/>
    <w:rsid w:val="00740264"/>
    <w:rsid w:val="007532B8"/>
    <w:rsid w:val="0082191E"/>
    <w:rsid w:val="008C2B58"/>
    <w:rsid w:val="00A94001"/>
    <w:rsid w:val="00AA6B6F"/>
    <w:rsid w:val="00C66F78"/>
    <w:rsid w:val="00D44BFF"/>
    <w:rsid w:val="00D528D2"/>
    <w:rsid w:val="00D70511"/>
    <w:rsid w:val="00DD3726"/>
    <w:rsid w:val="00E82042"/>
    <w:rsid w:val="00EE2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2CC8"/>
  <w15:docId w15:val="{67A48358-1852-4BB5-AAF3-A15A3058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jc w:val="both"/>
    </w:pPr>
    <w:rPr>
      <w:rFonts w:ascii="Arial" w:hAnsi="Arial" w:cs="Arial Unicode MS"/>
      <w:color w:val="000000"/>
      <w:sz w:val="24"/>
      <w:szCs w:val="24"/>
      <w:u w:color="000000"/>
      <w:lang w:val="en-US"/>
    </w:rPr>
  </w:style>
  <w:style w:type="paragraph" w:customStyle="1" w:styleId="H1">
    <w:name w:val="H1"/>
    <w:next w:val="Normal"/>
    <w:pPr>
      <w:pageBreakBefore/>
      <w:jc w:val="center"/>
    </w:pPr>
    <w:rPr>
      <w:rFonts w:ascii="Arial" w:hAnsi="Arial" w:cs="Arial Unicode MS"/>
      <w:b/>
      <w:bCs/>
      <w:color w:val="000000"/>
      <w:sz w:val="36"/>
      <w:szCs w:val="36"/>
      <w:u w:color="000000"/>
      <w:lang w:val="en-US"/>
    </w:rPr>
  </w:style>
  <w:style w:type="paragraph" w:customStyle="1" w:styleId="deleteasappropriate">
    <w:name w:val="delete as appropriate"/>
    <w:pPr>
      <w:jc w:val="both"/>
    </w:pPr>
    <w:rPr>
      <w:rFonts w:ascii="Arial" w:hAnsi="Arial" w:cs="Arial Unicode MS"/>
      <w:i/>
      <w:iCs/>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Comic Sans MS" w:eastAsia="Comic Sans MS" w:hAnsi="Comic Sans MS" w:cs="Comic Sans MS"/>
      <w:outline w:val="0"/>
      <w:color w:val="0000FF"/>
      <w:sz w:val="16"/>
      <w:szCs w:val="16"/>
      <w:u w:val="single" w:color="0000FF"/>
      <w:lang w:val="en-US"/>
    </w:rPr>
  </w:style>
  <w:style w:type="paragraph" w:customStyle="1" w:styleId="MeetsEYFS">
    <w:name w:val="Meets EYFS"/>
    <w:rPr>
      <w:rFonts w:ascii="Arial" w:hAnsi="Arial" w:cs="Arial Unicode MS"/>
      <w:color w:val="000000"/>
      <w:u w:color="000000"/>
      <w:lang w:val="en-US"/>
    </w:rPr>
  </w:style>
  <w:style w:type="numbering" w:customStyle="1" w:styleId="ImportedStyle1">
    <w:name w:val="Imported Style 1"/>
    <w:pPr>
      <w:numPr>
        <w:numId w:val="1"/>
      </w:numPr>
    </w:pPr>
  </w:style>
  <w:style w:type="paragraph" w:styleId="ListParagraph">
    <w:name w:val="List Paragraph"/>
    <w:pPr>
      <w:ind w:left="720"/>
      <w:jc w:val="both"/>
    </w:pPr>
    <w:rPr>
      <w:rFonts w:ascii="Arial" w:hAnsi="Arial"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layhouse12345@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dc:creator>
  <cp:lastModifiedBy>Rochelle Corbett</cp:lastModifiedBy>
  <cp:revision>9</cp:revision>
  <cp:lastPrinted>2026-03-25T15:51:00Z</cp:lastPrinted>
  <dcterms:created xsi:type="dcterms:W3CDTF">2026-02-11T14:38:00Z</dcterms:created>
  <dcterms:modified xsi:type="dcterms:W3CDTF">2026-03-25T16:05:00Z</dcterms:modified>
</cp:coreProperties>
</file>